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A76" w:rsidRDefault="003B6580">
      <w:pPr>
        <w:spacing w:after="0" w:line="259" w:lineRule="auto"/>
        <w:ind w:left="2477" w:firstLine="0"/>
        <w:jc w:val="left"/>
      </w:pPr>
      <w:bookmarkStart w:id="0" w:name="_GoBack"/>
      <w:bookmarkEnd w:id="0"/>
      <w:r>
        <w:rPr>
          <w:b/>
          <w:sz w:val="28"/>
        </w:rPr>
        <w:t xml:space="preserve">INVITATION FOR TENDERS </w:t>
      </w:r>
    </w:p>
    <w:p w:rsidR="00092A76" w:rsidRDefault="003B6580">
      <w:pPr>
        <w:spacing w:after="0" w:line="259" w:lineRule="auto"/>
        <w:ind w:left="0" w:right="1524" w:firstLine="0"/>
        <w:jc w:val="center"/>
      </w:pPr>
      <w:r>
        <w:t xml:space="preserve"> </w:t>
      </w:r>
    </w:p>
    <w:p w:rsidR="00092A76" w:rsidRDefault="003B6580">
      <w:pPr>
        <w:spacing w:after="0" w:line="259" w:lineRule="auto"/>
        <w:ind w:left="0" w:right="1584" w:firstLine="0"/>
        <w:jc w:val="center"/>
      </w:pPr>
      <w:r>
        <w:rPr>
          <w:b/>
        </w:rPr>
        <w:t xml:space="preserve">Ukraine </w:t>
      </w:r>
    </w:p>
    <w:p w:rsidR="00092A76" w:rsidRDefault="003B6580">
      <w:pPr>
        <w:spacing w:after="0" w:line="259" w:lineRule="auto"/>
        <w:ind w:left="235"/>
        <w:jc w:val="left"/>
      </w:pPr>
      <w:r>
        <w:rPr>
          <w:b/>
        </w:rPr>
        <w:t xml:space="preserve">Horishni Plavni District Heating Project - Energy Efficiency Improvement of the </w:t>
      </w:r>
    </w:p>
    <w:p w:rsidR="00092A76" w:rsidRDefault="003B6580">
      <w:pPr>
        <w:spacing w:after="0" w:line="259" w:lineRule="auto"/>
        <w:ind w:left="2208"/>
        <w:jc w:val="left"/>
      </w:pPr>
      <w:r>
        <w:rPr>
          <w:b/>
        </w:rPr>
        <w:t xml:space="preserve">District Heating system in Horishni Plavni </w:t>
      </w:r>
    </w:p>
    <w:p w:rsidR="00092A76" w:rsidRDefault="003B6580">
      <w:pPr>
        <w:spacing w:after="0" w:line="259" w:lineRule="auto"/>
        <w:ind w:left="0" w:right="1524" w:firstLine="0"/>
        <w:jc w:val="center"/>
      </w:pPr>
      <w:r>
        <w:rPr>
          <w:b/>
        </w:rPr>
        <w:t xml:space="preserve"> </w:t>
      </w:r>
    </w:p>
    <w:p w:rsidR="00092A76" w:rsidRDefault="003B6580">
      <w:pPr>
        <w:spacing w:after="0" w:line="259" w:lineRule="auto"/>
        <w:ind w:left="2758"/>
        <w:jc w:val="left"/>
      </w:pPr>
      <w:r>
        <w:rPr>
          <w:b/>
        </w:rPr>
        <w:t>INVITATION FOR TENDERS</w:t>
      </w:r>
      <w:r>
        <w:t xml:space="preserve"> </w:t>
      </w:r>
    </w:p>
    <w:p w:rsidR="00092A76" w:rsidRDefault="003B6580">
      <w:pPr>
        <w:spacing w:after="0" w:line="259" w:lineRule="auto"/>
        <w:ind w:left="2254"/>
        <w:jc w:val="left"/>
      </w:pPr>
      <w:r>
        <w:rPr>
          <w:b/>
        </w:rPr>
        <w:t xml:space="preserve">Supply and Installation of Biofuel Boilers </w:t>
      </w:r>
    </w:p>
    <w:p w:rsidR="00092A76" w:rsidRDefault="003B6580">
      <w:pPr>
        <w:spacing w:after="103" w:line="259" w:lineRule="auto"/>
        <w:ind w:left="0" w:firstLine="0"/>
        <w:jc w:val="left"/>
      </w:pPr>
      <w:r>
        <w:t xml:space="preserve"> </w:t>
      </w:r>
    </w:p>
    <w:p w:rsidR="00092A76" w:rsidRDefault="003B6580">
      <w:pPr>
        <w:ind w:left="-5" w:right="666"/>
      </w:pPr>
      <w:r>
        <w:t xml:space="preserve">This Invitation for Tenders follows the General Procurement Notice for this project which was published on the NEFCO website, Procurement Notices section </w:t>
      </w:r>
    </w:p>
    <w:p w:rsidR="00092A76" w:rsidRDefault="003B6580">
      <w:pPr>
        <w:spacing w:after="120" w:line="268" w:lineRule="auto"/>
        <w:ind w:left="0" w:firstLine="0"/>
        <w:jc w:val="left"/>
      </w:pPr>
      <w:r>
        <w:rPr>
          <w:b/>
          <w:i/>
          <w:sz w:val="20"/>
        </w:rPr>
        <w:t>(</w:t>
      </w:r>
      <w:r>
        <w:rPr>
          <w:b/>
          <w:i/>
          <w:color w:val="0562C1"/>
          <w:sz w:val="20"/>
          <w:u w:val="single" w:color="0562C1"/>
        </w:rPr>
        <w:t>https://www.nefco.org/procurements/general-procurement-notice-energy-efficiency-improvement-of-the-districtheating-system-in-horishni-plavni/</w:t>
      </w:r>
      <w:r>
        <w:rPr>
          <w:b/>
          <w:i/>
          <w:sz w:val="20"/>
        </w:rPr>
        <w:t>)</w:t>
      </w:r>
      <w:r>
        <w:rPr>
          <w:b/>
          <w:i/>
        </w:rPr>
        <w:t xml:space="preserve"> </w:t>
      </w:r>
      <w:r>
        <w:t xml:space="preserve">on July 12, 2019.  </w:t>
      </w:r>
    </w:p>
    <w:p w:rsidR="00092A76" w:rsidRDefault="003B6580">
      <w:pPr>
        <w:spacing w:after="121"/>
        <w:ind w:left="-5" w:right="666"/>
      </w:pPr>
      <w:r>
        <w:t xml:space="preserve">Communal Production Enterprise “Teploenergo” of Town Horishni Plavni hereinafter referred to </w:t>
      </w:r>
      <w:r>
        <w:t>as “the Employer”, intends to use part of the proceeds of a loan from the Nordic Environment Finance Corporation (the NEFCO) and a grant from the Eastern Europe Energy Efficiency and Environment Partnership (E5P)* towards the cost of Horishni Plavni Distri</w:t>
      </w:r>
      <w:r>
        <w:t xml:space="preserve">ct Heating Project - Energy Efficiency Improvement of the District Heating system in Horishni Plavni.  </w:t>
      </w:r>
    </w:p>
    <w:p w:rsidR="00092A76" w:rsidRDefault="003B6580">
      <w:pPr>
        <w:spacing w:after="126"/>
        <w:ind w:left="-5" w:right="666"/>
      </w:pPr>
      <w:r>
        <w:t xml:space="preserve">The Employer now invites sealed tenders from Contractors for the following contract to be funded from part of the proceeds of the loan and grant: </w:t>
      </w:r>
    </w:p>
    <w:p w:rsidR="00092A76" w:rsidRDefault="003B6580">
      <w:pPr>
        <w:spacing w:after="126"/>
        <w:ind w:left="576" w:right="666"/>
      </w:pPr>
      <w:r>
        <w:rPr>
          <w:b/>
        </w:rPr>
        <w:t>Biofu</w:t>
      </w:r>
      <w:r>
        <w:rPr>
          <w:b/>
        </w:rPr>
        <w:t xml:space="preserve">el Boilers </w:t>
      </w:r>
      <w:r>
        <w:t>including design works and supply of equipment and materials, installation, testing, pre-commissioning and commissioning of two biofuel boilers with a capacity of not less than 4 MW each in boiler house at 31 Energetykiv str. in Horishni Plavni.</w:t>
      </w:r>
      <w:r>
        <w:t xml:space="preserve"> It is envisaged to procure two sunflower husk pellets boilers with common biofuel storage and fuel supply systems, separate (two) flue gas cleaning systems, separate (two) flue gas duct systems, three heat exchangers with 50% of biofuel boiler house capac</w:t>
      </w:r>
      <w:r>
        <w:t xml:space="preserve">ity each,   circulation  pumps and pipes and valves. </w:t>
      </w:r>
    </w:p>
    <w:p w:rsidR="00092A76" w:rsidRDefault="003B6580">
      <w:pPr>
        <w:spacing w:after="121"/>
        <w:ind w:left="576" w:right="666"/>
      </w:pPr>
      <w:r>
        <w:rPr>
          <w:b/>
        </w:rPr>
        <w:t>Civil works</w:t>
      </w:r>
      <w:r>
        <w:t xml:space="preserve"> - including dismantling works, renovation of walls, floors and installation works, construction of a new boiler house building (if any). </w:t>
      </w:r>
    </w:p>
    <w:p w:rsidR="00092A76" w:rsidRDefault="003B6580">
      <w:pPr>
        <w:spacing w:after="121"/>
        <w:ind w:left="-5" w:right="666"/>
      </w:pPr>
      <w:r>
        <w:t xml:space="preserve">One of the biofuel boiler units including auxiliary </w:t>
      </w:r>
      <w:r>
        <w:t>equipment (fuel supply system, one flue gas cleaning system, one boiler chimney, one heat exchanger with 50% of biofuel boiler house capacity, pumps and others), shall be financed from the proceeds of the E5P grant. The remaining works and equipment includ</w:t>
      </w:r>
      <w:r>
        <w:t xml:space="preserve">ing the second biofuel boiler unit with rest auxiliary equipment shall be financed from the proceeds of the loan from NEFCO. More information is provided in the tender documents. </w:t>
      </w:r>
    </w:p>
    <w:p w:rsidR="00092A76" w:rsidRDefault="003B6580">
      <w:pPr>
        <w:spacing w:after="121"/>
        <w:ind w:left="-5" w:right="666"/>
      </w:pPr>
      <w:r>
        <w:t xml:space="preserve">Tendering for contracts that are to be financed with the proceeds of a loan </w:t>
      </w:r>
      <w:r>
        <w:t xml:space="preserve">from NEFCO and E5P grant is open to firms from any country. </w:t>
      </w:r>
    </w:p>
    <w:p w:rsidR="00092A76" w:rsidRDefault="003B6580">
      <w:pPr>
        <w:ind w:left="345" w:right="914" w:hanging="360"/>
      </w:pPr>
      <w:r>
        <w:t xml:space="preserve">To be qualified for the award of contract, tenderers must satisfy the following minimum criteria: </w:t>
      </w:r>
      <w:r>
        <w:rPr>
          <w:rFonts w:ascii="Segoe UI Symbol" w:eastAsia="Segoe UI Symbol" w:hAnsi="Segoe UI Symbol" w:cs="Segoe UI Symbol"/>
        </w:rPr>
        <w:t></w:t>
      </w:r>
      <w:r>
        <w:rPr>
          <w:rFonts w:ascii="Arial" w:eastAsia="Arial" w:hAnsi="Arial" w:cs="Arial"/>
        </w:rPr>
        <w:t xml:space="preserve"> </w:t>
      </w:r>
      <w:r>
        <w:t xml:space="preserve">Tenderers shall not having conflicts of interests. </w:t>
      </w:r>
    </w:p>
    <w:p w:rsidR="00092A76" w:rsidRDefault="003B6580">
      <w:pPr>
        <w:spacing w:after="46" w:line="259" w:lineRule="auto"/>
        <w:ind w:left="720" w:firstLine="0"/>
        <w:jc w:val="left"/>
      </w:pPr>
      <w:r>
        <w:t xml:space="preserve"> </w:t>
      </w:r>
    </w:p>
    <w:p w:rsidR="00092A76" w:rsidRDefault="003B6580">
      <w:pPr>
        <w:numPr>
          <w:ilvl w:val="0"/>
          <w:numId w:val="1"/>
        </w:numPr>
        <w:ind w:right="666" w:hanging="360"/>
      </w:pPr>
      <w:r>
        <w:t>The Tenderer’s average annual turnover ov</w:t>
      </w:r>
      <w:r>
        <w:t xml:space="preserve">er the last 5 (five) years exceeded EURO 6,000,000 (six million Euro) or equivalent. In case of tender submitted by JVCA, the leading partner should demonstrate at least 50% compliance with the requirement. </w:t>
      </w:r>
    </w:p>
    <w:p w:rsidR="00092A76" w:rsidRDefault="003B6580">
      <w:pPr>
        <w:spacing w:after="46" w:line="259" w:lineRule="auto"/>
        <w:ind w:left="720" w:firstLine="0"/>
        <w:jc w:val="left"/>
      </w:pPr>
      <w:r>
        <w:t xml:space="preserve"> </w:t>
      </w:r>
    </w:p>
    <w:p w:rsidR="00092A76" w:rsidRDefault="003B6580">
      <w:pPr>
        <w:numPr>
          <w:ilvl w:val="0"/>
          <w:numId w:val="1"/>
        </w:numPr>
        <w:ind w:right="666" w:hanging="360"/>
      </w:pPr>
      <w:r>
        <w:t>The Tenderer shall demonstrate that it has acc</w:t>
      </w:r>
      <w:r>
        <w:t>ess to, or has available, liquid assets, unencumbered real assets, lines of credit, and other financial means sufficient to meet the production cash flow for the contract estimated as not less than EURO 750,000 (seven hundred and fifty thousand Euro) equiv</w:t>
      </w:r>
      <w:r>
        <w:t xml:space="preserve">alent, taking into account the Tenderer's commitments for other contracts. </w:t>
      </w:r>
    </w:p>
    <w:p w:rsidR="00092A76" w:rsidRDefault="003B6580">
      <w:pPr>
        <w:spacing w:after="0" w:line="259" w:lineRule="auto"/>
        <w:ind w:left="720" w:firstLine="0"/>
        <w:jc w:val="left"/>
      </w:pPr>
      <w:r>
        <w:lastRenderedPageBreak/>
        <w:t xml:space="preserve"> </w:t>
      </w:r>
    </w:p>
    <w:p w:rsidR="00092A76" w:rsidRDefault="003B6580">
      <w:pPr>
        <w:spacing w:after="31" w:line="259" w:lineRule="auto"/>
        <w:ind w:left="0" w:firstLine="0"/>
      </w:pPr>
      <w:r>
        <w:t xml:space="preserve">                                  </w:t>
      </w:r>
      <w:r>
        <w:tab/>
        <w:t xml:space="preserve"> </w:t>
      </w:r>
      <w:r>
        <w:tab/>
        <w:t xml:space="preserve">                           </w:t>
      </w:r>
      <w:r>
        <w:rPr>
          <w:i/>
        </w:rPr>
        <w:t xml:space="preserve"> </w:t>
      </w:r>
    </w:p>
    <w:p w:rsidR="00092A76" w:rsidRDefault="003B6580">
      <w:pPr>
        <w:numPr>
          <w:ilvl w:val="0"/>
          <w:numId w:val="1"/>
        </w:numPr>
        <w:ind w:right="666" w:hanging="360"/>
      </w:pPr>
      <w:r>
        <w:t>Experience as Contractor, in at least 3 (three) contracts for boiler house rehabilitation or construction works of a nature and complexity comparable to the proposed contract within the last seven years, that have been successfully completed and that are s</w:t>
      </w:r>
      <w:r>
        <w:t xml:space="preserve">imilar to the proposed Plant. Relevant references shall be provided. </w:t>
      </w:r>
    </w:p>
    <w:p w:rsidR="00092A76" w:rsidRDefault="003B6580">
      <w:pPr>
        <w:spacing w:line="259" w:lineRule="auto"/>
        <w:ind w:left="720" w:firstLine="0"/>
        <w:jc w:val="left"/>
      </w:pPr>
      <w:r>
        <w:t xml:space="preserve"> </w:t>
      </w:r>
    </w:p>
    <w:p w:rsidR="00092A76" w:rsidRDefault="003B6580">
      <w:pPr>
        <w:spacing w:after="121"/>
        <w:ind w:left="730" w:right="666"/>
      </w:pPr>
      <w:r>
        <w:t>In addition, or as part of the above 3 (three) contracts the Tenderer, shall have successful experience as prime contractor or subcontractor of supply and installation of at least two (2) biofuel boilers with similar to proposed capacity and similar type o</w:t>
      </w:r>
      <w:r>
        <w:t>f fuel in countries with similar climatic conditions over a seven years period ending on the deadline for tender submission, having been in successful operation at least for 1 (one) year prior to submission of the tender. Relevant references shall be provi</w:t>
      </w:r>
      <w:r>
        <w:t xml:space="preserve">ded. </w:t>
      </w:r>
    </w:p>
    <w:p w:rsidR="00092A76" w:rsidRDefault="003B6580">
      <w:pPr>
        <w:spacing w:after="0" w:line="263" w:lineRule="auto"/>
        <w:ind w:left="0" w:right="846" w:firstLine="0"/>
        <w:jc w:val="left"/>
      </w:pPr>
      <w:r>
        <w:t>The Contract is planned to be completed within 15 (fifteen) months after the effective date. Tender documents may be obtained from the office at the address below upon payment of a nonrefundable fee of EURO 200 (two hundred) or equivalent in a conver</w:t>
      </w:r>
      <w:r>
        <w:t xml:space="preserve">tible currency.  </w:t>
      </w:r>
      <w:r>
        <w:rPr>
          <w:b/>
          <w:i/>
        </w:rPr>
        <w:t xml:space="preserve"> </w:t>
      </w:r>
    </w:p>
    <w:p w:rsidR="00092A76" w:rsidRDefault="003B6580">
      <w:pPr>
        <w:spacing w:line="259" w:lineRule="auto"/>
        <w:ind w:left="0" w:firstLine="0"/>
        <w:jc w:val="left"/>
      </w:pPr>
      <w:r>
        <w:t xml:space="preserve"> </w:t>
      </w:r>
    </w:p>
    <w:p w:rsidR="00092A76" w:rsidRDefault="003B6580">
      <w:pPr>
        <w:ind w:left="-5" w:right="666"/>
      </w:pPr>
      <w:r>
        <w:t xml:space="preserve">The method of payment will be direct deposit to any of the specified account numbers for respective currency: </w:t>
      </w:r>
    </w:p>
    <w:p w:rsidR="00092A76" w:rsidRDefault="003B6580">
      <w:pPr>
        <w:spacing w:line="259" w:lineRule="auto"/>
        <w:ind w:left="0" w:firstLine="0"/>
        <w:jc w:val="left"/>
      </w:pPr>
      <w:r>
        <w:t xml:space="preserve">  </w:t>
      </w:r>
    </w:p>
    <w:p w:rsidR="00092A76" w:rsidRDefault="003B6580">
      <w:pPr>
        <w:ind w:left="-5" w:right="666"/>
      </w:pPr>
      <w:r>
        <w:t xml:space="preserve">For payments in EUR:  </w:t>
      </w:r>
    </w:p>
    <w:p w:rsidR="00092A76" w:rsidRDefault="003B6580">
      <w:pPr>
        <w:ind w:left="-5" w:right="666"/>
      </w:pPr>
      <w:r>
        <w:t xml:space="preserve">IBAN – UA043204780000026000924417384 </w:t>
      </w:r>
    </w:p>
    <w:p w:rsidR="00092A76" w:rsidRDefault="003B6580">
      <w:pPr>
        <w:ind w:left="-5" w:right="666"/>
      </w:pPr>
      <w:r>
        <w:t xml:space="preserve">Beneficiary’s bank:  PUBLІC JOІNT-STOCK COMPANY JOІNT STOCK </w:t>
      </w:r>
      <w:r>
        <w:t xml:space="preserve">BANK </w:t>
      </w:r>
    </w:p>
    <w:p w:rsidR="00092A76" w:rsidRDefault="003B6580">
      <w:pPr>
        <w:ind w:left="-5" w:right="666"/>
      </w:pPr>
      <w:r>
        <w:t xml:space="preserve">“UKRGASBANK” KIEV, UKRAINE; </w:t>
      </w:r>
    </w:p>
    <w:p w:rsidR="00092A76" w:rsidRDefault="003B6580">
      <w:pPr>
        <w:ind w:left="-5" w:right="666"/>
      </w:pPr>
      <w:r>
        <w:t xml:space="preserve">SWIFT: UGASUAUK; </w:t>
      </w:r>
    </w:p>
    <w:p w:rsidR="00092A76" w:rsidRDefault="003B6580">
      <w:pPr>
        <w:ind w:left="-5" w:right="666"/>
      </w:pPr>
      <w:r>
        <w:t xml:space="preserve">Correspondent Bank: Commerzbank AG FRANKFURT AM MAIN, Germany </w:t>
      </w:r>
    </w:p>
    <w:p w:rsidR="00092A76" w:rsidRDefault="003B6580">
      <w:pPr>
        <w:ind w:left="-5" w:right="666"/>
      </w:pPr>
      <w:r>
        <w:t xml:space="preserve">SWIFT: COBADEFF </w:t>
      </w:r>
    </w:p>
    <w:p w:rsidR="00092A76" w:rsidRDefault="003B6580">
      <w:pPr>
        <w:ind w:left="-5" w:right="666"/>
      </w:pPr>
      <w:r>
        <w:t xml:space="preserve">Correspondent account: 4008864332 01. </w:t>
      </w:r>
    </w:p>
    <w:p w:rsidR="00092A76" w:rsidRDefault="003B6580">
      <w:pPr>
        <w:ind w:left="-5" w:right="666"/>
      </w:pPr>
      <w:r>
        <w:t xml:space="preserve">Beneficiary: COMMUNAL PRODUCTION ENTERPRISE "TEPLOENERGO" OF TOWN HORISHNI PLAVNI </w:t>
      </w:r>
    </w:p>
    <w:p w:rsidR="00092A76" w:rsidRDefault="003B6580">
      <w:pPr>
        <w:ind w:left="-5" w:right="666"/>
      </w:pPr>
      <w:r>
        <w:t xml:space="preserve">Name in Cyrillic: Комунальне виробниче підприємство «Теплоенерго» м.Горішні Плавні» </w:t>
      </w:r>
    </w:p>
    <w:p w:rsidR="00092A76" w:rsidRDefault="003B6580">
      <w:pPr>
        <w:spacing w:line="259" w:lineRule="auto"/>
        <w:ind w:left="0" w:firstLine="0"/>
        <w:jc w:val="left"/>
      </w:pPr>
      <w:r>
        <w:t xml:space="preserve"> </w:t>
      </w:r>
    </w:p>
    <w:p w:rsidR="00092A76" w:rsidRDefault="003B6580">
      <w:pPr>
        <w:ind w:left="-5" w:right="666"/>
      </w:pPr>
      <w:r>
        <w:t xml:space="preserve">For payments in UAH: </w:t>
      </w:r>
    </w:p>
    <w:p w:rsidR="00092A76" w:rsidRDefault="003B6580">
      <w:pPr>
        <w:ind w:left="-5" w:right="666"/>
      </w:pPr>
      <w:r>
        <w:t xml:space="preserve">Комунальне виробниче підприємство «Теплоенерго» м.Горішні Плавні» </w:t>
      </w:r>
    </w:p>
    <w:p w:rsidR="00092A76" w:rsidRDefault="003B6580">
      <w:pPr>
        <w:ind w:left="-5" w:right="666"/>
      </w:pPr>
      <w:r>
        <w:t xml:space="preserve">ЄДРПОУ  13940851 </w:t>
      </w:r>
    </w:p>
    <w:p w:rsidR="00092A76" w:rsidRDefault="003B6580">
      <w:pPr>
        <w:ind w:left="-5" w:right="1197"/>
      </w:pPr>
      <w:r>
        <w:t xml:space="preserve">IBAN - UA783314670000026001300011119 в Філії-Полтавське ОУ AT </w:t>
      </w:r>
      <w:r>
        <w:t xml:space="preserve">«Ощадбанк» МФО 331467 </w:t>
      </w:r>
    </w:p>
    <w:p w:rsidR="00092A76" w:rsidRDefault="003B6580">
      <w:pPr>
        <w:ind w:left="-5" w:right="666"/>
      </w:pPr>
      <w:r>
        <w:t xml:space="preserve">Адреса: 39800, м. Горішні Плавні, Полтавська область, вул. Молодіжна,8, другий поверх, приймальня. </w:t>
      </w:r>
    </w:p>
    <w:p w:rsidR="00092A76" w:rsidRDefault="003B6580">
      <w:pPr>
        <w:spacing w:line="259" w:lineRule="auto"/>
        <w:ind w:left="0" w:firstLine="0"/>
        <w:jc w:val="left"/>
      </w:pPr>
      <w:r>
        <w:t xml:space="preserve"> </w:t>
      </w:r>
    </w:p>
    <w:p w:rsidR="00092A76" w:rsidRDefault="003B6580">
      <w:pPr>
        <w:ind w:left="-5" w:right="666"/>
      </w:pPr>
      <w:r>
        <w:t>Before payment the tenderers must send a scanned copy of the signed official request for the tender documents receipt. This request</w:t>
      </w:r>
      <w:r>
        <w:t xml:space="preserve"> must include the full Name of the Tenderer, its requisites, the address where the tender documents must be delivered to and the name of the tender.  </w:t>
      </w:r>
    </w:p>
    <w:p w:rsidR="00092A76" w:rsidRDefault="003B6580">
      <w:pPr>
        <w:spacing w:line="259" w:lineRule="auto"/>
        <w:ind w:left="0" w:firstLine="0"/>
        <w:jc w:val="left"/>
      </w:pPr>
      <w:r>
        <w:t xml:space="preserve"> </w:t>
      </w:r>
    </w:p>
    <w:p w:rsidR="00092A76" w:rsidRDefault="003B6580">
      <w:pPr>
        <w:ind w:left="-5" w:right="666"/>
      </w:pPr>
      <w:r>
        <w:t>Upon receiving appropriate evidence of payment of the non-refundable fee, the documents will be promptl</w:t>
      </w:r>
      <w:r>
        <w:t xml:space="preserve">y dispatched electronically in PDF and MS Word format, however, no liability can be accepted for their non-delivery or late delivery. In case of discrepancies between the PDF and Word versions of the document, the PDF version shall prevail.  </w:t>
      </w:r>
    </w:p>
    <w:p w:rsidR="00092A76" w:rsidRDefault="003B6580">
      <w:pPr>
        <w:spacing w:line="259" w:lineRule="auto"/>
        <w:ind w:left="0" w:firstLine="0"/>
        <w:jc w:val="left"/>
      </w:pPr>
      <w:r>
        <w:t xml:space="preserve"> </w:t>
      </w:r>
    </w:p>
    <w:p w:rsidR="00092A76" w:rsidRDefault="003B6580">
      <w:pPr>
        <w:ind w:left="-5" w:right="666"/>
      </w:pPr>
      <w:r>
        <w:t>All tenders</w:t>
      </w:r>
      <w:r>
        <w:t xml:space="preserve"> must be accompanied by a Tender Security of EURO 28,000 (twenty eight thousand Euro) or equivalent in Ukrainian Hryvna at the rate of the National Bank of Ukraine on the date of the </w:t>
      </w:r>
      <w:r>
        <w:lastRenderedPageBreak/>
        <w:t>Tender Security issue, and must be delivered to the address below on or b</w:t>
      </w:r>
      <w:r>
        <w:t xml:space="preserve">efore the time and date of the submission deadline specified in the Letter of Invitation, at which time they will be opened in the presence of the tenderers’ representatives who wish to attend. </w:t>
      </w:r>
    </w:p>
    <w:p w:rsidR="00092A76" w:rsidRDefault="003B6580">
      <w:pPr>
        <w:spacing w:after="9" w:line="259" w:lineRule="auto"/>
        <w:ind w:left="0" w:firstLine="0"/>
        <w:jc w:val="left"/>
      </w:pPr>
      <w:r>
        <w:t xml:space="preserve"> </w:t>
      </w:r>
    </w:p>
    <w:p w:rsidR="00092A76" w:rsidRDefault="003B6580">
      <w:pPr>
        <w:ind w:left="-5" w:right="666"/>
      </w:pPr>
      <w:r>
        <w:t xml:space="preserve">A pre-tender meeting / site visit will be held </w:t>
      </w:r>
      <w:r>
        <w:rPr>
          <w:b/>
        </w:rPr>
        <w:t>at 10:00 a.m</w:t>
      </w:r>
      <w:r>
        <w:rPr>
          <w:b/>
        </w:rPr>
        <w:t>. local time, on February 18, 2020</w:t>
      </w:r>
      <w:r>
        <w:t xml:space="preserve"> at the below address. </w:t>
      </w:r>
    </w:p>
    <w:p w:rsidR="00092A76" w:rsidRDefault="003B6580">
      <w:pPr>
        <w:spacing w:after="9" w:line="259" w:lineRule="auto"/>
        <w:ind w:left="0" w:firstLine="0"/>
        <w:jc w:val="left"/>
      </w:pPr>
      <w:r>
        <w:t xml:space="preserve"> </w:t>
      </w:r>
    </w:p>
    <w:p w:rsidR="00092A76" w:rsidRDefault="003B6580">
      <w:pPr>
        <w:ind w:left="-5" w:right="666"/>
      </w:pPr>
      <w:r>
        <w:t xml:space="preserve">All requests for clarification must be received by the Employer </w:t>
      </w:r>
      <w:r>
        <w:rPr>
          <w:b/>
        </w:rPr>
        <w:t>till February 25, 2020, 17:00</w:t>
      </w:r>
      <w:r>
        <w:t xml:space="preserve">. Please, note that it is not allowed to send the requests for clarification after the deadline. </w:t>
      </w:r>
    </w:p>
    <w:p w:rsidR="00092A76" w:rsidRDefault="003B6580">
      <w:pPr>
        <w:spacing w:after="9" w:line="259" w:lineRule="auto"/>
        <w:ind w:left="0" w:firstLine="0"/>
        <w:jc w:val="left"/>
      </w:pPr>
      <w:r>
        <w:t xml:space="preserve"> </w:t>
      </w:r>
    </w:p>
    <w:p w:rsidR="00092A76" w:rsidRDefault="003B6580">
      <w:pPr>
        <w:ind w:left="-5" w:right="666"/>
      </w:pPr>
      <w:r>
        <w:t>Ten</w:t>
      </w:r>
      <w:r>
        <w:t xml:space="preserve">ders must be delivered to the office at the address below </w:t>
      </w:r>
      <w:r>
        <w:rPr>
          <w:b/>
        </w:rPr>
        <w:t>on or before 11:00 a.m., on April 07, 2020,</w:t>
      </w:r>
      <w:r>
        <w:t xml:space="preserve"> at which time they will be opened in the presence of those tenderers’ representatives who choose to attend. Late Tenders will be rejected. </w:t>
      </w:r>
    </w:p>
    <w:p w:rsidR="00092A76" w:rsidRDefault="003B6580">
      <w:pPr>
        <w:spacing w:line="259" w:lineRule="auto"/>
        <w:ind w:left="0" w:firstLine="0"/>
        <w:jc w:val="left"/>
      </w:pPr>
      <w:r>
        <w:t xml:space="preserve"> </w:t>
      </w:r>
    </w:p>
    <w:p w:rsidR="00092A76" w:rsidRDefault="003B6580">
      <w:pPr>
        <w:ind w:left="-5" w:right="666"/>
      </w:pPr>
      <w:r>
        <w:t>A register o</w:t>
      </w:r>
      <w:r>
        <w:t xml:space="preserve">f potential tenderers who have purchased the tender documents may be inspected at the address below. </w:t>
      </w:r>
    </w:p>
    <w:p w:rsidR="00092A76" w:rsidRDefault="003B6580">
      <w:pPr>
        <w:spacing w:line="259" w:lineRule="auto"/>
        <w:ind w:left="0" w:firstLine="0"/>
        <w:jc w:val="left"/>
      </w:pPr>
      <w:r>
        <w:t xml:space="preserve"> </w:t>
      </w:r>
    </w:p>
    <w:p w:rsidR="00092A76" w:rsidRDefault="003B6580">
      <w:pPr>
        <w:ind w:left="-5" w:right="666"/>
      </w:pPr>
      <w:r>
        <w:t xml:space="preserve">Prospective tenderers may obtain further information from, and also inspect and acquire the tender documents at, the following office: </w:t>
      </w:r>
    </w:p>
    <w:p w:rsidR="00092A76" w:rsidRDefault="003B6580">
      <w:pPr>
        <w:spacing w:line="259" w:lineRule="auto"/>
        <w:ind w:left="0" w:firstLine="0"/>
        <w:jc w:val="left"/>
      </w:pPr>
      <w:r>
        <w:t xml:space="preserve"> </w:t>
      </w:r>
    </w:p>
    <w:p w:rsidR="00092A76" w:rsidRDefault="003B6580">
      <w:pPr>
        <w:tabs>
          <w:tab w:val="center" w:pos="3065"/>
        </w:tabs>
        <w:ind w:left="-15" w:firstLine="0"/>
        <w:jc w:val="left"/>
      </w:pPr>
      <w:r>
        <w:t xml:space="preserve">Contact person: </w:t>
      </w:r>
      <w:r>
        <w:tab/>
        <w:t xml:space="preserve">Mr. Pavlo Snizhko </w:t>
      </w:r>
    </w:p>
    <w:p w:rsidR="00092A76" w:rsidRDefault="003B6580">
      <w:pPr>
        <w:tabs>
          <w:tab w:val="center" w:pos="5705"/>
        </w:tabs>
        <w:ind w:left="-15" w:firstLine="0"/>
        <w:jc w:val="left"/>
      </w:pPr>
      <w:r>
        <w:t xml:space="preserve">Employer’s entity:  </w:t>
      </w:r>
      <w:r>
        <w:tab/>
        <w:t xml:space="preserve">Communal Production Enterprise “Teploenergo” of Town Horishni Plavni </w:t>
      </w:r>
    </w:p>
    <w:tbl>
      <w:tblPr>
        <w:tblStyle w:val="TableGrid"/>
        <w:tblW w:w="9077" w:type="dxa"/>
        <w:tblInd w:w="0" w:type="dxa"/>
        <w:tblCellMar>
          <w:top w:w="0" w:type="dxa"/>
          <w:left w:w="0" w:type="dxa"/>
          <w:bottom w:w="0" w:type="dxa"/>
          <w:right w:w="0" w:type="dxa"/>
        </w:tblCellMar>
        <w:tblLook w:val="04A0" w:firstRow="1" w:lastRow="0" w:firstColumn="1" w:lastColumn="0" w:noHBand="0" w:noVBand="1"/>
      </w:tblPr>
      <w:tblGrid>
        <w:gridCol w:w="1440"/>
        <w:gridCol w:w="686"/>
        <w:gridCol w:w="6951"/>
      </w:tblGrid>
      <w:tr w:rsidR="00092A76">
        <w:trPr>
          <w:trHeight w:val="590"/>
        </w:trPr>
        <w:tc>
          <w:tcPr>
            <w:tcW w:w="1440" w:type="dxa"/>
            <w:tcBorders>
              <w:top w:val="nil"/>
              <w:left w:val="nil"/>
              <w:bottom w:val="nil"/>
              <w:right w:val="nil"/>
            </w:tcBorders>
          </w:tcPr>
          <w:p w:rsidR="00092A76" w:rsidRDefault="003B6580">
            <w:pPr>
              <w:spacing w:after="0" w:line="259" w:lineRule="auto"/>
              <w:ind w:left="0" w:firstLine="0"/>
              <w:jc w:val="left"/>
            </w:pPr>
            <w:r>
              <w:t xml:space="preserve">Address: </w:t>
            </w:r>
          </w:p>
        </w:tc>
        <w:tc>
          <w:tcPr>
            <w:tcW w:w="686" w:type="dxa"/>
            <w:tcBorders>
              <w:top w:val="nil"/>
              <w:left w:val="nil"/>
              <w:bottom w:val="nil"/>
              <w:right w:val="nil"/>
            </w:tcBorders>
          </w:tcPr>
          <w:p w:rsidR="00092A76" w:rsidRDefault="00092A76">
            <w:pPr>
              <w:spacing w:after="160" w:line="259" w:lineRule="auto"/>
              <w:ind w:left="0" w:firstLine="0"/>
              <w:jc w:val="left"/>
            </w:pPr>
          </w:p>
        </w:tc>
        <w:tc>
          <w:tcPr>
            <w:tcW w:w="6951" w:type="dxa"/>
            <w:tcBorders>
              <w:top w:val="nil"/>
              <w:left w:val="nil"/>
              <w:bottom w:val="nil"/>
              <w:right w:val="nil"/>
            </w:tcBorders>
          </w:tcPr>
          <w:p w:rsidR="00092A76" w:rsidRDefault="003B6580">
            <w:pPr>
              <w:spacing w:after="0" w:line="259" w:lineRule="auto"/>
              <w:ind w:left="0" w:firstLine="0"/>
              <w:jc w:val="left"/>
            </w:pPr>
            <w:r>
              <w:t xml:space="preserve"> </w:t>
            </w:r>
            <w:r>
              <w:t xml:space="preserve">8 Molodizhna Street, Horishni Plavni, Poltava Region, 39800, Ukraine, Reception, Floor 2.  </w:t>
            </w:r>
          </w:p>
        </w:tc>
      </w:tr>
      <w:tr w:rsidR="00092A76">
        <w:trPr>
          <w:trHeight w:val="305"/>
        </w:trPr>
        <w:tc>
          <w:tcPr>
            <w:tcW w:w="1440" w:type="dxa"/>
            <w:tcBorders>
              <w:top w:val="nil"/>
              <w:left w:val="nil"/>
              <w:bottom w:val="nil"/>
              <w:right w:val="nil"/>
            </w:tcBorders>
          </w:tcPr>
          <w:p w:rsidR="00092A76" w:rsidRDefault="003B6580">
            <w:pPr>
              <w:tabs>
                <w:tab w:val="center" w:pos="720"/>
              </w:tabs>
              <w:spacing w:after="0" w:line="259" w:lineRule="auto"/>
              <w:ind w:left="0" w:firstLine="0"/>
              <w:jc w:val="left"/>
            </w:pPr>
            <w:r>
              <w:t xml:space="preserve">Tel:  </w:t>
            </w:r>
            <w:r>
              <w:tab/>
              <w:t xml:space="preserve"> </w:t>
            </w:r>
          </w:p>
        </w:tc>
        <w:tc>
          <w:tcPr>
            <w:tcW w:w="686" w:type="dxa"/>
            <w:tcBorders>
              <w:top w:val="nil"/>
              <w:left w:val="nil"/>
              <w:bottom w:val="nil"/>
              <w:right w:val="nil"/>
            </w:tcBorders>
          </w:tcPr>
          <w:p w:rsidR="00092A76" w:rsidRDefault="003B6580">
            <w:pPr>
              <w:spacing w:after="0" w:line="259" w:lineRule="auto"/>
              <w:ind w:left="0" w:firstLine="0"/>
              <w:jc w:val="left"/>
            </w:pPr>
            <w:r>
              <w:t xml:space="preserve"> </w:t>
            </w:r>
          </w:p>
        </w:tc>
        <w:tc>
          <w:tcPr>
            <w:tcW w:w="6951" w:type="dxa"/>
            <w:tcBorders>
              <w:top w:val="nil"/>
              <w:left w:val="nil"/>
              <w:bottom w:val="nil"/>
              <w:right w:val="nil"/>
            </w:tcBorders>
          </w:tcPr>
          <w:p w:rsidR="00092A76" w:rsidRDefault="003B6580">
            <w:pPr>
              <w:spacing w:after="0" w:line="259" w:lineRule="auto"/>
              <w:ind w:left="34" w:firstLine="0"/>
              <w:jc w:val="left"/>
            </w:pPr>
            <w:r>
              <w:t xml:space="preserve">+380503082301    </w:t>
            </w:r>
          </w:p>
        </w:tc>
      </w:tr>
      <w:tr w:rsidR="00092A76">
        <w:trPr>
          <w:trHeight w:val="305"/>
        </w:trPr>
        <w:tc>
          <w:tcPr>
            <w:tcW w:w="1440" w:type="dxa"/>
            <w:tcBorders>
              <w:top w:val="nil"/>
              <w:left w:val="nil"/>
              <w:bottom w:val="nil"/>
              <w:right w:val="nil"/>
            </w:tcBorders>
          </w:tcPr>
          <w:p w:rsidR="00092A76" w:rsidRDefault="003B6580">
            <w:pPr>
              <w:spacing w:after="0" w:line="259" w:lineRule="auto"/>
              <w:ind w:left="0" w:firstLine="0"/>
              <w:jc w:val="left"/>
            </w:pPr>
            <w:r>
              <w:t xml:space="preserve">Fax:       </w:t>
            </w:r>
          </w:p>
        </w:tc>
        <w:tc>
          <w:tcPr>
            <w:tcW w:w="686" w:type="dxa"/>
            <w:tcBorders>
              <w:top w:val="nil"/>
              <w:left w:val="nil"/>
              <w:bottom w:val="nil"/>
              <w:right w:val="nil"/>
            </w:tcBorders>
          </w:tcPr>
          <w:p w:rsidR="00092A76" w:rsidRDefault="003B6580">
            <w:pPr>
              <w:spacing w:after="0" w:line="259" w:lineRule="auto"/>
              <w:ind w:left="0" w:firstLine="0"/>
              <w:jc w:val="left"/>
            </w:pPr>
            <w:r>
              <w:t xml:space="preserve"> </w:t>
            </w:r>
          </w:p>
        </w:tc>
        <w:tc>
          <w:tcPr>
            <w:tcW w:w="6951" w:type="dxa"/>
            <w:tcBorders>
              <w:top w:val="nil"/>
              <w:left w:val="nil"/>
              <w:bottom w:val="nil"/>
              <w:right w:val="nil"/>
            </w:tcBorders>
          </w:tcPr>
          <w:p w:rsidR="00092A76" w:rsidRDefault="003B6580">
            <w:pPr>
              <w:spacing w:after="0" w:line="259" w:lineRule="auto"/>
              <w:ind w:left="34" w:firstLine="0"/>
              <w:jc w:val="left"/>
            </w:pPr>
            <w:r>
              <w:t xml:space="preserve">none </w:t>
            </w:r>
          </w:p>
        </w:tc>
      </w:tr>
      <w:tr w:rsidR="00092A76">
        <w:trPr>
          <w:trHeight w:val="285"/>
        </w:trPr>
        <w:tc>
          <w:tcPr>
            <w:tcW w:w="1440" w:type="dxa"/>
            <w:tcBorders>
              <w:top w:val="nil"/>
              <w:left w:val="nil"/>
              <w:bottom w:val="nil"/>
              <w:right w:val="nil"/>
            </w:tcBorders>
          </w:tcPr>
          <w:p w:rsidR="00092A76" w:rsidRDefault="003B6580">
            <w:pPr>
              <w:spacing w:after="0" w:line="259" w:lineRule="auto"/>
              <w:ind w:left="0" w:firstLine="0"/>
              <w:jc w:val="left"/>
            </w:pPr>
            <w:r>
              <w:t xml:space="preserve">E-mail:  </w:t>
            </w:r>
          </w:p>
        </w:tc>
        <w:tc>
          <w:tcPr>
            <w:tcW w:w="686" w:type="dxa"/>
            <w:tcBorders>
              <w:top w:val="nil"/>
              <w:left w:val="nil"/>
              <w:bottom w:val="nil"/>
              <w:right w:val="nil"/>
            </w:tcBorders>
          </w:tcPr>
          <w:p w:rsidR="00092A76" w:rsidRDefault="003B6580">
            <w:pPr>
              <w:spacing w:after="0" w:line="259" w:lineRule="auto"/>
              <w:ind w:left="0" w:firstLine="0"/>
              <w:jc w:val="left"/>
            </w:pPr>
            <w:r>
              <w:t xml:space="preserve"> </w:t>
            </w:r>
          </w:p>
        </w:tc>
        <w:tc>
          <w:tcPr>
            <w:tcW w:w="6951" w:type="dxa"/>
            <w:tcBorders>
              <w:top w:val="nil"/>
              <w:left w:val="nil"/>
              <w:bottom w:val="nil"/>
              <w:right w:val="nil"/>
            </w:tcBorders>
          </w:tcPr>
          <w:p w:rsidR="00092A76" w:rsidRDefault="003B6580">
            <w:pPr>
              <w:spacing w:after="0" w:line="259" w:lineRule="auto"/>
              <w:ind w:left="34" w:firstLine="0"/>
              <w:jc w:val="left"/>
            </w:pPr>
            <w:r>
              <w:t xml:space="preserve">kte2013@ukr.net </w:t>
            </w:r>
          </w:p>
        </w:tc>
      </w:tr>
    </w:tbl>
    <w:p w:rsidR="00092A76" w:rsidRDefault="003B6580">
      <w:pPr>
        <w:spacing w:after="165" w:line="259" w:lineRule="auto"/>
        <w:ind w:left="0" w:right="682" w:firstLine="0"/>
        <w:jc w:val="right"/>
      </w:pPr>
      <w:r>
        <w:rPr>
          <w:b/>
        </w:rPr>
        <w:t xml:space="preserve">Date: January 28, 2020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0" w:line="259" w:lineRule="auto"/>
        <w:ind w:left="0" w:right="338" w:firstLine="0"/>
        <w:jc w:val="center"/>
      </w:pPr>
      <w:r>
        <w:rPr>
          <w:b/>
        </w:rPr>
        <w:t xml:space="preserve"> </w:t>
      </w:r>
    </w:p>
    <w:p w:rsidR="00092A76" w:rsidRDefault="003B6580">
      <w:pPr>
        <w:spacing w:after="29" w:line="259" w:lineRule="auto"/>
        <w:ind w:left="-29" w:firstLine="0"/>
        <w:jc w:val="left"/>
      </w:pPr>
      <w:r>
        <w:rPr>
          <w:rFonts w:ascii="Calibri" w:eastAsia="Calibri" w:hAnsi="Calibri" w:cs="Calibri"/>
          <w:noProof/>
          <w:sz w:val="22"/>
        </w:rPr>
        <mc:AlternateContent>
          <mc:Choice Requires="wpg">
            <w:drawing>
              <wp:inline distT="0" distB="0" distL="0" distR="0">
                <wp:extent cx="6156960" cy="6097"/>
                <wp:effectExtent l="0" t="0" r="0" b="0"/>
                <wp:docPr id="3794" name="Group 3794"/>
                <wp:cNvGraphicFramePr/>
                <a:graphic xmlns:a="http://schemas.openxmlformats.org/drawingml/2006/main">
                  <a:graphicData uri="http://schemas.microsoft.com/office/word/2010/wordprocessingGroup">
                    <wpg:wgp>
                      <wpg:cNvGrpSpPr/>
                      <wpg:grpSpPr>
                        <a:xfrm>
                          <a:off x="0" y="0"/>
                          <a:ext cx="6156960" cy="6097"/>
                          <a:chOff x="0" y="0"/>
                          <a:chExt cx="6156960" cy="6097"/>
                        </a:xfrm>
                      </wpg:grpSpPr>
                      <wps:wsp>
                        <wps:cNvPr id="4637" name="Shape 4637"/>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94" style="width:484.8pt;height:0.480042pt;mso-position-horizontal-relative:char;mso-position-vertical-relative:line" coordsize="61569,60">
                <v:shape id="Shape 4638" style="position:absolute;width:61569;height:91;left:0;top:0;" coordsize="6156960,9144" path="m0,0l6156960,0l6156960,9144l0,9144l0,0">
                  <v:stroke weight="0pt" endcap="flat" joinstyle="miter" miterlimit="10" on="false" color="#000000" opacity="0"/>
                  <v:fill on="true" color="#000000"/>
                </v:shape>
              </v:group>
            </w:pict>
          </mc:Fallback>
        </mc:AlternateContent>
      </w:r>
    </w:p>
    <w:p w:rsidR="00092A76" w:rsidRDefault="003B6580">
      <w:pPr>
        <w:spacing w:after="0" w:line="243" w:lineRule="auto"/>
        <w:ind w:left="0" w:right="680" w:firstLine="0"/>
      </w:pPr>
      <w:r>
        <w:rPr>
          <w:sz w:val="20"/>
        </w:rPr>
        <w:t>The Eastern Europe Energy Efficiency and Environment Partnership (E5P) is a €180 million multi-donor fund managed by the EBRD and designed to promote energy efficiency investments in Ukraine and other eastern European countries. The fund was established un</w:t>
      </w:r>
      <w:r>
        <w:rPr>
          <w:sz w:val="20"/>
        </w:rPr>
        <w:t>der an initiative of the Swedish government during its presidency of the European Union (EU) in 2009. E5P complements energy efficiency loans provided by financial institutions including the European Bank for Reconstruction and Development, the European In</w:t>
      </w:r>
      <w:r>
        <w:rPr>
          <w:sz w:val="20"/>
        </w:rPr>
        <w:t>vestment Bank, KfW, NEFCO and the World Bank Group. Contributors to E5P are the EU and the US, as well as Denmark, Estonia, Finland, Germany, Iceland, Ireland, Latvia, Lithuania, Norway, Poland, Slovak Republic, Sweden, Switzerland and Ukraine.</w:t>
      </w:r>
      <w:r>
        <w:t xml:space="preserve"> </w:t>
      </w:r>
    </w:p>
    <w:sectPr w:rsidR="00092A76">
      <w:pgSz w:w="11906" w:h="16838"/>
      <w:pgMar w:top="376" w:right="450" w:bottom="759"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D135C"/>
    <w:multiLevelType w:val="hybridMultilevel"/>
    <w:tmpl w:val="BB58C442"/>
    <w:lvl w:ilvl="0" w:tplc="BD4465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828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023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2CD5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A7C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0E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0F1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C75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274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76"/>
    <w:rsid w:val="00092A76"/>
    <w:rsid w:val="003B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3610E-C06C-44FD-9294-D3758B23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62"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Рибник Владислав</dc:creator>
  <cp:keywords/>
  <cp:lastModifiedBy>Рибник Владислав</cp:lastModifiedBy>
  <cp:revision>2</cp:revision>
  <dcterms:created xsi:type="dcterms:W3CDTF">2020-01-28T13:20:00Z</dcterms:created>
  <dcterms:modified xsi:type="dcterms:W3CDTF">2020-01-28T13:20:00Z</dcterms:modified>
</cp:coreProperties>
</file>