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540"/>
        <w:gridCol w:w="720"/>
        <w:gridCol w:w="1380"/>
        <w:gridCol w:w="1300"/>
        <w:gridCol w:w="2340"/>
        <w:gridCol w:w="2320"/>
        <w:gridCol w:w="1200"/>
        <w:gridCol w:w="1200"/>
        <w:gridCol w:w="1200"/>
        <w:gridCol w:w="1200"/>
        <w:gridCol w:w="1200"/>
        <w:gridCol w:w="1360"/>
        <w:gridCol w:w="40"/>
        <w:gridCol w:w="420"/>
      </w:tblGrid>
      <w:tr w:rsidR="00C93BE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7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8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23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23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6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 w:rsidRPr="00CA2CC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5960" w:type="dxa"/>
            <w:gridSpan w:val="12"/>
            <w:tcBorders>
              <w:bottom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jc w:val="center"/>
              <w:rPr>
                <w:lang w:val="ru-RU"/>
              </w:rPr>
            </w:pPr>
            <w:r w:rsidRPr="00CA2CCE">
              <w:rPr>
                <w:b/>
                <w:sz w:val="24"/>
                <w:lang w:val="ru-RU"/>
              </w:rPr>
              <w:t>БЮДЖЕТНИЙ ЗАПИТ НА 2022 – 2024 РОКИ загальний ( Форма 2022-1 )</w:t>
            </w:r>
          </w:p>
        </w:tc>
        <w:tc>
          <w:tcPr>
            <w:tcW w:w="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</w:tr>
      <w:tr w:rsidR="00C93BEC" w:rsidRPr="00CA2CC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5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7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38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3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23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23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36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54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93BEC" w:rsidRDefault="00C2263D">
            <w:pPr>
              <w:jc w:val="both"/>
            </w:pPr>
            <w:r>
              <w:rPr>
                <w:b/>
              </w:rPr>
              <w:t xml:space="preserve">1.  </w:t>
            </w:r>
          </w:p>
        </w:tc>
        <w:tc>
          <w:tcPr>
            <w:tcW w:w="926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roofErr w:type="spellStart"/>
            <w:r>
              <w:rPr>
                <w:b/>
                <w:sz w:val="18"/>
              </w:rPr>
              <w:t>Управління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містобудування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та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земельних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відносин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Горішньоплавнівської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міської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ради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Кременчуцького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району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Полтавської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області</w:t>
            </w:r>
            <w:proofErr w:type="spellEnd"/>
          </w:p>
        </w:tc>
        <w:tc>
          <w:tcPr>
            <w:tcW w:w="24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C93BEC" w:rsidRDefault="00C2263D">
            <w:pPr>
              <w:jc w:val="center"/>
            </w:pPr>
            <w:r>
              <w:t>16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C93BEC" w:rsidRDefault="00C2263D">
            <w:pPr>
              <w:jc w:val="center"/>
            </w:pPr>
            <w:r>
              <w:t>05482950</w:t>
            </w:r>
          </w:p>
        </w:tc>
        <w:tc>
          <w:tcPr>
            <w:tcW w:w="2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C93BEC" w:rsidRDefault="00C2263D">
            <w:pPr>
              <w:jc w:val="center"/>
            </w:pPr>
            <w:r>
              <w:t>16546000000</w:t>
            </w: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5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9260" w:type="dxa"/>
            <w:gridSpan w:val="6"/>
            <w:tcMar>
              <w:top w:w="20" w:type="dxa"/>
              <w:left w:w="0" w:type="dxa"/>
              <w:bottom w:w="0" w:type="dxa"/>
              <w:right w:w="0" w:type="dxa"/>
            </w:tcMar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4"/>
                <w:lang w:val="ru-RU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4"/>
                <w:lang w:val="ru-RU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</w:t>
            </w:r>
            <w:proofErr w:type="spellEnd"/>
            <w:r>
              <w:rPr>
                <w:sz w:val="14"/>
              </w:rPr>
              <w:t xml:space="preserve"> ЄДРПОУ)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бюджету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 w:rsidRPr="00CA2CC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59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rPr>
                <w:lang w:val="ru-RU"/>
              </w:rPr>
            </w:pPr>
            <w:r w:rsidRPr="00CA2CCE">
              <w:rPr>
                <w:b/>
                <w:lang w:val="ru-RU"/>
              </w:rPr>
              <w:t>2. Мета діяльності головного розпорядника коштів місцевого бюджету.</w:t>
            </w:r>
          </w:p>
        </w:tc>
        <w:tc>
          <w:tcPr>
            <w:tcW w:w="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</w:tr>
      <w:tr w:rsidR="00C93BEC" w:rsidRPr="00CA2CC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59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rPr>
                <w:lang w:val="ru-RU"/>
              </w:rPr>
            </w:pPr>
            <w:r w:rsidRPr="00CA2CCE">
              <w:rPr>
                <w:lang w:val="ru-RU"/>
              </w:rPr>
              <w:t>Реалізація державно політики щодо використання земель, вдосконалення земельних відносин.</w:t>
            </w:r>
          </w:p>
        </w:tc>
        <w:tc>
          <w:tcPr>
            <w:tcW w:w="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</w:tr>
      <w:tr w:rsidR="00C93BEC" w:rsidRPr="00CA2CC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5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7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38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3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23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23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36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</w:tr>
      <w:tr w:rsidR="00C93BEC" w:rsidRPr="00CA2CC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1598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rPr>
                <w:lang w:val="ru-RU"/>
              </w:rPr>
            </w:pPr>
            <w:r w:rsidRPr="00CA2CCE">
              <w:rPr>
                <w:b/>
                <w:lang w:val="ru-RU"/>
              </w:rPr>
              <w:t xml:space="preserve">3. Цілі державної політики у відповідній сфері діяльності, формування та/або реалізацію якої забезпечує головний розпорядник коштів місцевого бюджету, і показники їх досягнення </w:t>
            </w:r>
          </w:p>
        </w:tc>
        <w:tc>
          <w:tcPr>
            <w:tcW w:w="4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6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результату</w:t>
            </w:r>
            <w:proofErr w:type="spellEnd"/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6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 w:rsidRPr="00CA2CC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598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rFonts w:ascii="Arial" w:eastAsia="Arial" w:hAnsi="Arial" w:cs="Arial"/>
                <w:b/>
                <w:sz w:val="16"/>
                <w:lang w:val="ru-RU"/>
              </w:rPr>
              <w:t>1 - Здійснення наданих законодавством повноважень у сфері  містобудування і земельних відносин</w:t>
            </w:r>
          </w:p>
        </w:tc>
        <w:tc>
          <w:tcPr>
            <w:tcW w:w="42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6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одиниць</w:t>
            </w:r>
            <w:proofErr w:type="spellEnd"/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од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16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16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46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rPr>
                <w:lang w:val="ru-RU"/>
              </w:rPr>
            </w:pPr>
            <w:r w:rsidRPr="00CA2CCE">
              <w:rPr>
                <w:b/>
                <w:lang w:val="ru-RU"/>
              </w:rPr>
              <w:t xml:space="preserve">4. Розподіл граничних показників видатків бюджету та надання кредитів з бюджету загального фонду місцевого бюджету на 2020 - 2024 роки за бюджетними програмами: </w:t>
            </w:r>
          </w:p>
        </w:tc>
        <w:tc>
          <w:tcPr>
            <w:tcW w:w="13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93BEC" w:rsidRDefault="00C2263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6"/>
                <w:lang w:val="ru-RU"/>
              </w:rPr>
              <w:t>Код Програмної</w:t>
            </w:r>
            <w:r w:rsidRPr="00CA2CCE">
              <w:rPr>
                <w:sz w:val="16"/>
                <w:lang w:val="ru-RU"/>
              </w:rPr>
              <w:br/>
              <w:t>класифікації</w:t>
            </w:r>
            <w:r w:rsidRPr="00CA2CCE">
              <w:rPr>
                <w:sz w:val="16"/>
                <w:lang w:val="ru-RU"/>
              </w:rPr>
              <w:br/>
              <w:t>видатків та</w:t>
            </w:r>
            <w:r w:rsidRPr="00CA2CCE">
              <w:rPr>
                <w:sz w:val="16"/>
                <w:lang w:val="ru-RU"/>
              </w:rPr>
              <w:br/>
              <w:t>кредитування</w:t>
            </w:r>
            <w:r w:rsidRPr="00CA2CCE">
              <w:rPr>
                <w:sz w:val="16"/>
                <w:lang w:val="ru-RU"/>
              </w:rPr>
              <w:br/>
              <w:t>місцевого</w:t>
            </w:r>
            <w:r w:rsidRPr="00CA2CCE">
              <w:rPr>
                <w:sz w:val="16"/>
                <w:lang w:val="ru-RU"/>
              </w:rPr>
              <w:br/>
              <w:t>бюджету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6"/>
                <w:lang w:val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6"/>
                <w:lang w:val="ru-RU"/>
              </w:rPr>
              <w:t>Код Функціональної</w:t>
            </w:r>
            <w:r w:rsidRPr="00CA2CCE">
              <w:rPr>
                <w:sz w:val="16"/>
                <w:lang w:val="ru-RU"/>
              </w:rPr>
              <w:br/>
              <w:t>класифікації</w:t>
            </w:r>
            <w:r w:rsidRPr="00CA2CCE">
              <w:rPr>
                <w:sz w:val="16"/>
                <w:lang w:val="ru-RU"/>
              </w:rPr>
              <w:br/>
              <w:t>видатків та</w:t>
            </w:r>
            <w:r w:rsidRPr="00CA2CCE">
              <w:rPr>
                <w:sz w:val="16"/>
                <w:lang w:val="ru-RU"/>
              </w:rPr>
              <w:br/>
              <w:t>кредитування</w:t>
            </w:r>
            <w:r w:rsidRPr="00CA2CCE">
              <w:rPr>
                <w:sz w:val="16"/>
                <w:lang w:val="ru-RU"/>
              </w:rPr>
              <w:br/>
              <w:t>бюджету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6"/>
                <w:lang w:val="ru-RU"/>
              </w:rPr>
              <w:t>Найменування відповідального виконаця, найменування бюджетної програми згідно з Типовою</w:t>
            </w:r>
            <w:r w:rsidRPr="00CA2CCE">
              <w:rPr>
                <w:sz w:val="16"/>
                <w:lang w:val="ru-RU"/>
              </w:rPr>
              <w:br/>
              <w:t>програмною класифікацією</w:t>
            </w:r>
            <w:r w:rsidRPr="00CA2CCE">
              <w:rPr>
                <w:sz w:val="16"/>
                <w:lang w:val="ru-RU"/>
              </w:rPr>
              <w:br/>
              <w:t>видатків та кредитування</w:t>
            </w:r>
            <w:r w:rsidRPr="00CA2CCE">
              <w:rPr>
                <w:sz w:val="16"/>
                <w:lang w:val="ru-RU"/>
              </w:rPr>
              <w:br/>
              <w:t>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Номер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цілі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державної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політики</w:t>
            </w:r>
            <w:proofErr w:type="spellEnd"/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містобудування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відносин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Горішньоплавнівської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Кременчуцького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району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3 943 212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5 649 100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5 575 100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6 200 000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6 670 000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1610160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0160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0111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громадах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3 646 337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4 659 100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5 450 100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5 529 300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5 805 800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1617130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7130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0421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землеустрою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296 875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990 000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670 700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864 200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73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3 943 212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5 649 100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5 575 100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6 200 000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6 670 000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176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59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93BEC">
            <w:pPr>
              <w:pStyle w:val="EMPTYCELLSTYLE"/>
            </w:pP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</w:tcPr>
          <w:p w:rsidR="00C93BEC" w:rsidRDefault="00C93BEC">
            <w:pPr>
              <w:pStyle w:val="EMPTYCELLSTYLE"/>
              <w:pageBreakBefore/>
            </w:pPr>
          </w:p>
        </w:tc>
        <w:tc>
          <w:tcPr>
            <w:tcW w:w="1260" w:type="dxa"/>
            <w:gridSpan w:val="2"/>
          </w:tcPr>
          <w:p w:rsidR="00C93BEC" w:rsidRDefault="00C93BEC">
            <w:pPr>
              <w:pStyle w:val="EMPTYCELLSTYLE"/>
            </w:pPr>
          </w:p>
        </w:tc>
        <w:tc>
          <w:tcPr>
            <w:tcW w:w="138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660" w:type="dxa"/>
            <w:gridSpan w:val="2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6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46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rPr>
                <w:lang w:val="ru-RU"/>
              </w:rPr>
            </w:pPr>
            <w:r w:rsidRPr="00CA2CCE">
              <w:rPr>
                <w:b/>
                <w:lang w:val="ru-RU"/>
              </w:rPr>
              <w:t xml:space="preserve">5. Розподіл граничних показників видатків бюджету та надання кредитів з бюджету спеціального фонду місцевого бюджету на 2020 - 2024 роки за бюджетними програмами: </w:t>
            </w:r>
          </w:p>
        </w:tc>
        <w:tc>
          <w:tcPr>
            <w:tcW w:w="13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93BEC" w:rsidRDefault="00C2263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6"/>
                <w:lang w:val="ru-RU"/>
              </w:rPr>
              <w:t>Код Програмної</w:t>
            </w:r>
            <w:r w:rsidRPr="00CA2CCE">
              <w:rPr>
                <w:sz w:val="16"/>
                <w:lang w:val="ru-RU"/>
              </w:rPr>
              <w:br/>
              <w:t>класифікації</w:t>
            </w:r>
            <w:r w:rsidRPr="00CA2CCE">
              <w:rPr>
                <w:sz w:val="16"/>
                <w:lang w:val="ru-RU"/>
              </w:rPr>
              <w:br/>
              <w:t>видатків та</w:t>
            </w:r>
            <w:r w:rsidRPr="00CA2CCE">
              <w:rPr>
                <w:sz w:val="16"/>
                <w:lang w:val="ru-RU"/>
              </w:rPr>
              <w:br/>
              <w:t>кредитування</w:t>
            </w:r>
            <w:r w:rsidRPr="00CA2CCE">
              <w:rPr>
                <w:sz w:val="16"/>
                <w:lang w:val="ru-RU"/>
              </w:rPr>
              <w:br/>
              <w:t>місцевого</w:t>
            </w:r>
            <w:r w:rsidRPr="00CA2CCE">
              <w:rPr>
                <w:sz w:val="16"/>
                <w:lang w:val="ru-RU"/>
              </w:rPr>
              <w:br/>
              <w:t>бюджету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6"/>
                <w:lang w:val="ru-RU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6"/>
                <w:lang w:val="ru-RU"/>
              </w:rPr>
              <w:t>Код Функціональної</w:t>
            </w:r>
            <w:r w:rsidRPr="00CA2CCE">
              <w:rPr>
                <w:sz w:val="16"/>
                <w:lang w:val="ru-RU"/>
              </w:rPr>
              <w:br/>
              <w:t>класифікації</w:t>
            </w:r>
            <w:r w:rsidRPr="00CA2CCE">
              <w:rPr>
                <w:sz w:val="16"/>
                <w:lang w:val="ru-RU"/>
              </w:rPr>
              <w:br/>
              <w:t>видатків та</w:t>
            </w:r>
            <w:r w:rsidRPr="00CA2CCE">
              <w:rPr>
                <w:sz w:val="16"/>
                <w:lang w:val="ru-RU"/>
              </w:rPr>
              <w:br/>
              <w:t>кредитування</w:t>
            </w:r>
            <w:r w:rsidRPr="00CA2CCE">
              <w:rPr>
                <w:sz w:val="16"/>
                <w:lang w:val="ru-RU"/>
              </w:rPr>
              <w:br/>
              <w:t>бюджету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Pr="00CA2CCE" w:rsidRDefault="00C2263D">
            <w:pPr>
              <w:ind w:left="60"/>
              <w:jc w:val="center"/>
              <w:rPr>
                <w:lang w:val="ru-RU"/>
              </w:rPr>
            </w:pPr>
            <w:r w:rsidRPr="00CA2CCE">
              <w:rPr>
                <w:sz w:val="16"/>
                <w:lang w:val="ru-RU"/>
              </w:rPr>
              <w:t>Найменування відповідального виконаця, найменування бюджетної програми згідно з Типовою</w:t>
            </w:r>
            <w:r w:rsidRPr="00CA2CCE">
              <w:rPr>
                <w:sz w:val="16"/>
                <w:lang w:val="ru-RU"/>
              </w:rPr>
              <w:br/>
              <w:t>програмною класифікацією</w:t>
            </w:r>
            <w:r w:rsidRPr="00CA2CCE">
              <w:rPr>
                <w:sz w:val="16"/>
                <w:lang w:val="ru-RU"/>
              </w:rPr>
              <w:br/>
              <w:t>видатків та кредитування</w:t>
            </w:r>
            <w:r w:rsidRPr="00CA2CCE">
              <w:rPr>
                <w:sz w:val="16"/>
                <w:lang w:val="ru-RU"/>
              </w:rPr>
              <w:br/>
              <w:t>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Номер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цілі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державної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політики</w:t>
            </w:r>
            <w:proofErr w:type="spellEnd"/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містобудування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відносин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Горішньоплавнівської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Кременчуцького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району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489 759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1 440 400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1 204 900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1 896 000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2 240 000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1610160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0160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0111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громадах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60 447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49 900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1617130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7130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0421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землеустрою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730 000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1 046 900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1 348 500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1617350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7350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0443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Pr="00CA2CCE" w:rsidRDefault="00C2263D">
            <w:pPr>
              <w:ind w:left="60"/>
              <w:rPr>
                <w:lang w:val="ru-RU"/>
              </w:rPr>
            </w:pPr>
            <w:r w:rsidRPr="00CA2CCE">
              <w:rPr>
                <w:rFonts w:ascii="Arial" w:eastAsia="Arial" w:hAnsi="Arial" w:cs="Arial"/>
                <w:sz w:val="16"/>
                <w:lang w:val="ru-RU"/>
              </w:rPr>
              <w:t>Розроблення схем планування та забудови територій (містобудівної документації)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700 400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1617650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7650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0490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Pr="00CA2CCE" w:rsidRDefault="00C2263D">
            <w:pPr>
              <w:ind w:left="60"/>
              <w:rPr>
                <w:lang w:val="ru-RU"/>
              </w:rPr>
            </w:pPr>
            <w:r w:rsidRPr="00CA2CCE">
              <w:rPr>
                <w:rFonts w:ascii="Arial" w:eastAsia="Arial" w:hAnsi="Arial" w:cs="Arial"/>
                <w:sz w:val="16"/>
                <w:lang w:val="ru-RU"/>
              </w:rPr>
              <w:t>Проведення експертної  грошової  оцінки  земельної ділянки чи права на неї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93BEC" w:rsidRDefault="00C2263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73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2263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489 759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1 440 400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1 204 900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1 896 000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3BEC" w:rsidRDefault="00C2263D">
            <w:pPr>
              <w:ind w:right="60"/>
              <w:jc w:val="right"/>
            </w:pPr>
            <w:r>
              <w:rPr>
                <w:b/>
                <w:sz w:val="16"/>
              </w:rPr>
              <w:t>2 240 000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3BEC" w:rsidRDefault="00C93BEC">
            <w:pPr>
              <w:jc w:val="center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C93BEC" w:rsidRDefault="00C93BEC">
            <w:pPr>
              <w:pStyle w:val="EMPTYCELLSTYLE"/>
            </w:pPr>
          </w:p>
        </w:tc>
        <w:tc>
          <w:tcPr>
            <w:tcW w:w="138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660" w:type="dxa"/>
            <w:gridSpan w:val="2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6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C93BEC" w:rsidRDefault="00C93BEC">
            <w:pPr>
              <w:pStyle w:val="EMPTYCELLSTYLE"/>
            </w:pPr>
          </w:p>
        </w:tc>
        <w:tc>
          <w:tcPr>
            <w:tcW w:w="734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ind w:right="60"/>
            </w:pPr>
            <w:proofErr w:type="spellStart"/>
            <w:r>
              <w:rPr>
                <w:b/>
                <w:sz w:val="16"/>
              </w:rPr>
              <w:t>Начальник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roofErr w:type="spellStart"/>
            <w:r>
              <w:t>Шкопотко</w:t>
            </w:r>
            <w:proofErr w:type="spellEnd"/>
            <w:r>
              <w:t xml:space="preserve"> М.М.</w:t>
            </w: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6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C93BEC" w:rsidRDefault="00C93BEC">
            <w:pPr>
              <w:pStyle w:val="EMPTYCELLSTYLE"/>
            </w:pPr>
          </w:p>
        </w:tc>
        <w:tc>
          <w:tcPr>
            <w:tcW w:w="734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2"/>
              </w:rPr>
              <w:t xml:space="preserve">(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6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C93BEC" w:rsidRDefault="00C93BEC">
            <w:pPr>
              <w:pStyle w:val="EMPTYCELLSTYLE"/>
            </w:pPr>
          </w:p>
        </w:tc>
        <w:tc>
          <w:tcPr>
            <w:tcW w:w="734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Pr="00CA2CCE" w:rsidRDefault="00C2263D">
            <w:pPr>
              <w:rPr>
                <w:lang w:val="ru-RU"/>
              </w:rPr>
            </w:pPr>
            <w:r w:rsidRPr="00CA2CCE">
              <w:rPr>
                <w:b/>
                <w:sz w:val="16"/>
                <w:lang w:val="ru-RU"/>
              </w:rPr>
              <w:t>Головний спеціаліст з бухгалтерського обліку та звітності</w:t>
            </w:r>
          </w:p>
        </w:tc>
        <w:tc>
          <w:tcPr>
            <w:tcW w:w="1200" w:type="dxa"/>
          </w:tcPr>
          <w:p w:rsidR="00C93BEC" w:rsidRPr="00CA2CCE" w:rsidRDefault="00C93BEC">
            <w:pPr>
              <w:pStyle w:val="EMPTYCELLSTYLE"/>
              <w:rPr>
                <w:lang w:val="ru-RU"/>
              </w:rPr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r>
              <w:t>Коваленко Н.В.</w:t>
            </w: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6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  <w:tr w:rsidR="00C93BE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C93BEC" w:rsidRDefault="00C93BEC">
            <w:pPr>
              <w:pStyle w:val="EMPTYCELLSTYLE"/>
            </w:pPr>
          </w:p>
        </w:tc>
        <w:tc>
          <w:tcPr>
            <w:tcW w:w="734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93BEC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3BEC" w:rsidRDefault="00C2263D">
            <w:pPr>
              <w:jc w:val="center"/>
            </w:pPr>
            <w:r>
              <w:rPr>
                <w:sz w:val="12"/>
              </w:rPr>
              <w:t xml:space="preserve">(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20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136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20" w:type="dxa"/>
          </w:tcPr>
          <w:p w:rsidR="00C93BEC" w:rsidRDefault="00C93BEC">
            <w:pPr>
              <w:pStyle w:val="EMPTYCELLSTYLE"/>
            </w:pPr>
          </w:p>
        </w:tc>
        <w:tc>
          <w:tcPr>
            <w:tcW w:w="420" w:type="dxa"/>
          </w:tcPr>
          <w:p w:rsidR="00C93BEC" w:rsidRDefault="00C93BEC">
            <w:pPr>
              <w:pStyle w:val="EMPTYCELLSTYLE"/>
            </w:pPr>
          </w:p>
        </w:tc>
      </w:tr>
    </w:tbl>
    <w:p w:rsidR="00C2263D" w:rsidRDefault="00C2263D"/>
    <w:sectPr w:rsidR="00C2263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EC"/>
    <w:rsid w:val="00C2263D"/>
    <w:rsid w:val="00C93BEC"/>
    <w:rsid w:val="00CA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2230F-A6EC-4B33-A7BC-ED4BDD91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Наталя</dc:creator>
  <cp:lastModifiedBy>Коваленко Наталя</cp:lastModifiedBy>
  <cp:revision>2</cp:revision>
  <dcterms:created xsi:type="dcterms:W3CDTF">2021-12-29T13:00:00Z</dcterms:created>
  <dcterms:modified xsi:type="dcterms:W3CDTF">2021-12-29T13:00:00Z</dcterms:modified>
</cp:coreProperties>
</file>